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9915F">
      <w:pPr>
        <w:pStyle w:val="5"/>
        <w:keepNext w:val="0"/>
        <w:keepLines w:val="0"/>
        <w:widowControl/>
        <w:suppressLineNumbers w:val="0"/>
        <w:bidi w:val="0"/>
        <w:spacing w:before="0" w:beforeAutospacing="0" w:after="200" w:afterAutospacing="0" w:line="21" w:lineRule="atLeast"/>
        <w:jc w:val="both"/>
        <w:rPr>
          <w:rFonts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ascii="Book Antiqua" w:hAnsi="Book Antiqua" w:eastAsia="Book Antiqua" w:cs="Book Antiqua"/>
          <w:i w:val="0"/>
          <w:iCs w:val="0"/>
          <w:color w:val="000000"/>
          <w:sz w:val="20"/>
          <w:szCs w:val="20"/>
          <w:u w:val="none"/>
          <w:vertAlign w:val="baseline"/>
        </w:rPr>
        <w:drawing>
          <wp:inline distT="0" distB="0" distL="114300" distR="114300">
            <wp:extent cx="2307590" cy="737870"/>
            <wp:effectExtent l="0" t="0" r="16510" b="508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759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Book Antiqua" w:hAnsi="Book Antiqua" w:eastAsia="Book Antiqua" w:cs="Book Antiqua"/>
          <w:i w:val="0"/>
          <w:iCs w:val="0"/>
          <w:color w:val="000000"/>
          <w:sz w:val="20"/>
          <w:szCs w:val="20"/>
          <w:u w:val="none"/>
          <w:vertAlign w:val="baseline"/>
          <w:lang w:val="en-US"/>
        </w:rPr>
        <w:t xml:space="preserve">                         </w:t>
      </w:r>
      <w:r>
        <w:rPr>
          <w:rFonts w:hint="default" w:ascii="Book Antiqua" w:hAnsi="Book Antiqua" w:eastAsia="Book Antiqua" w:cs="Book Antiqua"/>
          <w:b/>
          <w:bCs/>
          <w:i w:val="0"/>
          <w:iCs w:val="0"/>
          <w:color w:val="000000"/>
          <w:sz w:val="72"/>
          <w:szCs w:val="72"/>
          <w:u w:val="none"/>
          <w:vertAlign w:val="baseline"/>
        </w:rPr>
        <w:t>SSI</w:t>
      </w:r>
      <w:r>
        <w:rPr>
          <w:rFonts w:hint="default" w:ascii="Book Antiqua" w:hAnsi="Book Antiqua" w:eastAsia="Book Antiqua" w:cs="Book Antiqua"/>
          <w:b/>
          <w:bCs/>
          <w:i w:val="0"/>
          <w:iCs w:val="0"/>
          <w:color w:val="000000"/>
          <w:sz w:val="72"/>
          <w:szCs w:val="72"/>
          <w:u w:val="none"/>
          <w:vertAlign w:val="baseline"/>
          <w:lang w:val="en-US"/>
        </w:rPr>
        <w:t xml:space="preserve">P </w:t>
      </w:r>
      <w:r>
        <w:rPr>
          <w:rFonts w:hint="default" w:ascii="Book Antiqua" w:hAnsi="Book Antiqua" w:eastAsia="Book Antiqua" w:cs="Book Antiqua"/>
          <w:b/>
          <w:bCs/>
          <w:i w:val="0"/>
          <w:iCs w:val="0"/>
          <w:color w:val="000000"/>
          <w:sz w:val="72"/>
          <w:szCs w:val="72"/>
          <w:u w:val="none"/>
          <w:vertAlign w:val="baseline"/>
        </w:rPr>
        <w:t>Cell</w:t>
      </w:r>
      <w:r>
        <w:rPr>
          <w:rFonts w:ascii="Calibri" w:hAnsi="Calibri" w:cs="Calibri"/>
          <w:b/>
          <w:bCs/>
          <w:i w:val="0"/>
          <w:iCs w:val="0"/>
          <w:color w:val="000000"/>
          <w:sz w:val="72"/>
          <w:szCs w:val="72"/>
          <w:u w:val="none"/>
          <w:vertAlign w:val="baseline"/>
        </w:rPr>
        <w:t> </w:t>
      </w:r>
    </w:p>
    <w:p w14:paraId="2423D2DD">
      <w:pPr>
        <w:pStyle w:val="5"/>
        <w:keepNext w:val="0"/>
        <w:keepLines w:val="0"/>
        <w:widowControl/>
        <w:suppressLineNumbers w:val="0"/>
        <w:bidi w:val="0"/>
        <w:spacing w:before="0" w:beforeAutospacing="0" w:after="200" w:afterAutospacing="0" w:line="21" w:lineRule="atLeast"/>
        <w:jc w:val="right"/>
        <w:rPr>
          <w:rFonts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444AE4BD">
      <w:pPr>
        <w:pStyle w:val="5"/>
        <w:keepNext w:val="0"/>
        <w:keepLines w:val="0"/>
        <w:widowControl/>
        <w:suppressLineNumbers w:val="0"/>
        <w:bidi w:val="0"/>
        <w:spacing w:before="0" w:beforeAutospacing="0" w:after="200" w:afterAutospacing="0" w:line="21" w:lineRule="atLeast"/>
        <w:jc w:val="right"/>
        <w:rPr>
          <w:rStyle w:val="6"/>
        </w:rPr>
      </w:pPr>
      <w:r>
        <w:rPr>
          <w:rFonts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</w:rPr>
        <w:t xml:space="preserve">Date: </w:t>
      </w:r>
      <w:r>
        <w:rPr>
          <w:rFonts w:hint="default"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>20</w:t>
      </w:r>
      <w:r>
        <w:rPr>
          <w:rFonts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</w:rPr>
        <w:t>/0</w:t>
      </w:r>
      <w:r>
        <w:rPr>
          <w:rFonts w:hint="default"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>2</w:t>
      </w:r>
      <w:r>
        <w:rPr>
          <w:rFonts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</w:rPr>
        <w:t>/202</w:t>
      </w:r>
      <w:r>
        <w:rPr>
          <w:rFonts w:hint="default" w:ascii="Book Antiqua" w:hAnsi="Book Antiqua" w:eastAsia="Book Antiqua" w:cs="Book Antiqua"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>5</w:t>
      </w:r>
    </w:p>
    <w:p w14:paraId="1A17FEE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6"/>
          <w:rFonts w:hint="default" w:ascii="Times New Roman" w:hAnsi="Times New Roman" w:cs="Times New Roman"/>
        </w:rPr>
        <w:t xml:space="preserve">Report: STUDENT SENSITIZATION PROGRAM – </w:t>
      </w:r>
      <w:r>
        <w:rPr>
          <w:rStyle w:val="6"/>
          <w:rFonts w:hint="default" w:ascii="Times New Roman" w:hAnsi="Times New Roman" w:cs="Times New Roman"/>
          <w:lang w:val="en-US"/>
        </w:rPr>
        <w:t xml:space="preserve">Health </w:t>
      </w:r>
      <w:r>
        <w:rPr>
          <w:rStyle w:val="6"/>
          <w:rFonts w:hint="default" w:ascii="Times New Roman" w:hAnsi="Times New Roman" w:cs="Times New Roman"/>
        </w:rPr>
        <w:t>Perspective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SSIP 2.0 Awareness Program – H</w:t>
      </w:r>
      <w:r>
        <w:rPr>
          <w:rStyle w:val="6"/>
          <w:rFonts w:hint="default" w:ascii="Times New Roman" w:hAnsi="Times New Roman" w:cs="Times New Roman"/>
          <w:lang w:val="en-US"/>
        </w:rPr>
        <w:t>ealth</w:t>
      </w:r>
      <w:r>
        <w:rPr>
          <w:rStyle w:val="6"/>
          <w:rFonts w:hint="default" w:ascii="Times New Roman" w:hAnsi="Times New Roman" w:cs="Times New Roman"/>
        </w:rPr>
        <w:t xml:space="preserve"> Perspective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Date:</w:t>
      </w:r>
      <w:r>
        <w:rPr>
          <w:rFonts w:hint="default" w:ascii="Times New Roman" w:hAnsi="Times New Roman" w:cs="Times New Roman"/>
        </w:rPr>
        <w:t xml:space="preserve"> 20th February 2025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Expert:</w:t>
      </w:r>
      <w:r>
        <w:rPr>
          <w:rFonts w:hint="default" w:ascii="Times New Roman" w:hAnsi="Times New Roman" w:cs="Times New Roman"/>
        </w:rPr>
        <w:t xml:space="preserve"> Dr. Hafiza Malik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6"/>
          <w:rFonts w:hint="default" w:ascii="Times New Roman" w:hAnsi="Times New Roman" w:cs="Times New Roman"/>
        </w:rPr>
        <w:t>Duration:</w:t>
      </w:r>
      <w:r>
        <w:rPr>
          <w:rFonts w:hint="default" w:ascii="Times New Roman" w:hAnsi="Times New Roman" w:cs="Times New Roman"/>
        </w:rPr>
        <w:t xml:space="preserve"> 2 Hours</w:t>
      </w:r>
    </w:p>
    <w:p w14:paraId="0871DEFC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On 20th February 2025, a specialized </w:t>
      </w:r>
      <w:r>
        <w:rPr>
          <w:rStyle w:val="6"/>
        </w:rPr>
        <w:t>SSIP 2.0 (Student Startup and Innovation Policy)</w:t>
      </w:r>
      <w:r>
        <w:t xml:space="preserve"> Awareness Program was organized, focusing on promoting innovation and entrepreneurship in the field of </w:t>
      </w:r>
      <w:r>
        <w:rPr>
          <w:rStyle w:val="6"/>
        </w:rPr>
        <w:t>alternative and holistic healthcare</w:t>
      </w:r>
      <w:r>
        <w:t xml:space="preserve">. The session was primarily aimed at </w:t>
      </w:r>
      <w:r>
        <w:rPr>
          <w:rStyle w:val="6"/>
        </w:rPr>
        <w:t>Homoeopathy, BPT (Physiotherapy)</w:t>
      </w:r>
      <w:r>
        <w:rPr>
          <w:rStyle w:val="6"/>
          <w:rFonts w:hint="default"/>
          <w:lang w:val="en-US"/>
        </w:rPr>
        <w:t xml:space="preserve"> </w:t>
      </w:r>
      <w:r>
        <w:t>students, offering them a comprehensive understanding of how SSIP 2.0 can be a powerful platform for translating healthcare ideas into impactful startups.</w:t>
      </w:r>
    </w:p>
    <w:p w14:paraId="2449469F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The session was led by </w:t>
      </w:r>
      <w:r>
        <w:rPr>
          <w:rStyle w:val="6"/>
        </w:rPr>
        <w:t>Dr. Hafiza Malik</w:t>
      </w:r>
      <w:r>
        <w:t xml:space="preserve">, who provided valuable insights into how SSIP 2.0 can be effectively utilized across these domains. She explained how </w:t>
      </w:r>
      <w:r>
        <w:rPr>
          <w:rStyle w:val="6"/>
        </w:rPr>
        <w:t>Homoeopathy students</w:t>
      </w:r>
      <w:r>
        <w:t xml:space="preserve"> can explore innovative projects such as </w:t>
      </w:r>
      <w:r>
        <w:rPr>
          <w:rStyle w:val="6"/>
        </w:rPr>
        <w:t>teleconsultation platforms</w:t>
      </w:r>
      <w:r>
        <w:t xml:space="preserve">, </w:t>
      </w:r>
      <w:r>
        <w:rPr>
          <w:rStyle w:val="6"/>
        </w:rPr>
        <w:t>AI-based symptom analysis tools</w:t>
      </w:r>
      <w:r>
        <w:t xml:space="preserve">, </w:t>
      </w:r>
      <w:r>
        <w:rPr>
          <w:rStyle w:val="6"/>
        </w:rPr>
        <w:t>digital case record systems</w:t>
      </w:r>
      <w:r>
        <w:t xml:space="preserve">, and </w:t>
      </w:r>
      <w:r>
        <w:rPr>
          <w:rStyle w:val="6"/>
        </w:rPr>
        <w:t>mobile apps</w:t>
      </w:r>
      <w:r>
        <w:t xml:space="preserve"> for remedy selection and dosage tracking.</w:t>
      </w:r>
    </w:p>
    <w:p w14:paraId="7739E576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Incorporating the </w:t>
      </w:r>
      <w:r>
        <w:rPr>
          <w:rStyle w:val="6"/>
        </w:rPr>
        <w:t>BPT perspective</w:t>
      </w:r>
      <w:r>
        <w:t xml:space="preserve">, Dr. </w:t>
      </w:r>
      <w:r>
        <w:rPr>
          <w:rFonts w:hint="default"/>
          <w:lang w:val="en-US"/>
        </w:rPr>
        <w:t xml:space="preserve">Hafiza </w:t>
      </w:r>
      <w:r>
        <w:t xml:space="preserve">Malik highlighted opportunities for physiotherapy students to develop </w:t>
      </w:r>
      <w:r>
        <w:rPr>
          <w:rStyle w:val="6"/>
        </w:rPr>
        <w:t>digital physiotherapy assessment tools</w:t>
      </w:r>
      <w:r>
        <w:t xml:space="preserve">, </w:t>
      </w:r>
      <w:r>
        <w:rPr>
          <w:rStyle w:val="6"/>
        </w:rPr>
        <w:t>rehabilitation tracking apps</w:t>
      </w:r>
      <w:r>
        <w:t xml:space="preserve">, </w:t>
      </w:r>
      <w:r>
        <w:rPr>
          <w:rStyle w:val="6"/>
        </w:rPr>
        <w:t>wearable devices for posture and mobility monitoring</w:t>
      </w:r>
      <w:r>
        <w:t xml:space="preserve">, and </w:t>
      </w:r>
      <w:r>
        <w:rPr>
          <w:rStyle w:val="6"/>
        </w:rPr>
        <w:t>virtual therapy platforms</w:t>
      </w:r>
      <w:r>
        <w:t xml:space="preserve"> to extend physiotherapy services to remote populations. The integration of technology and personalized therapy plans was encouraged to enhance patient compliance and outcomes.</w:t>
      </w:r>
    </w:p>
    <w:p w14:paraId="6050665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 xml:space="preserve">Throughout the session, the importance of </w:t>
      </w:r>
      <w:r>
        <w:rPr>
          <w:rStyle w:val="6"/>
        </w:rPr>
        <w:t>evidence-based practices</w:t>
      </w:r>
      <w:r>
        <w:t xml:space="preserve">, </w:t>
      </w:r>
      <w:r>
        <w:rPr>
          <w:rStyle w:val="6"/>
        </w:rPr>
        <w:t>technological integration</w:t>
      </w:r>
      <w:r>
        <w:t xml:space="preserve">, and </w:t>
      </w:r>
      <w:r>
        <w:rPr>
          <w:rStyle w:val="6"/>
        </w:rPr>
        <w:t>patient-centric innovation</w:t>
      </w:r>
      <w:r>
        <w:t xml:space="preserve"> was underscored. Students were encouraged to identify </w:t>
      </w:r>
      <w:r>
        <w:rPr>
          <w:rStyle w:val="6"/>
        </w:rPr>
        <w:t>unmet healthcare needs</w:t>
      </w:r>
      <w:r>
        <w:t xml:space="preserve"> in their respective fields and create </w:t>
      </w:r>
      <w:r>
        <w:rPr>
          <w:rStyle w:val="6"/>
        </w:rPr>
        <w:t>affordable, user-friendly solutions</w:t>
      </w:r>
      <w:r>
        <w:t xml:space="preserve"> that bridge traditional and modern medical practices.</w:t>
      </w:r>
    </w:p>
    <w:p w14:paraId="0A152C40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SSIP 2.0</w:t>
      </w:r>
      <w:r>
        <w:t xml:space="preserve"> offers substantial support in the form of </w:t>
      </w:r>
      <w:r>
        <w:rPr>
          <w:rStyle w:val="6"/>
        </w:rPr>
        <w:t>funding</w:t>
      </w:r>
      <w:r>
        <w:t xml:space="preserve">, </w:t>
      </w:r>
      <w:r>
        <w:rPr>
          <w:rStyle w:val="6"/>
        </w:rPr>
        <w:t>expert mentorship</w:t>
      </w:r>
      <w:r>
        <w:t xml:space="preserve">, </w:t>
      </w:r>
      <w:r>
        <w:rPr>
          <w:rStyle w:val="6"/>
        </w:rPr>
        <w:t>incubation facilities</w:t>
      </w:r>
      <w:r>
        <w:t xml:space="preserve">, and </w:t>
      </w:r>
      <w:r>
        <w:rPr>
          <w:rStyle w:val="6"/>
        </w:rPr>
        <w:t>research collaboration opportunities</w:t>
      </w:r>
      <w:r>
        <w:t xml:space="preserve"> to empower students from these diverse healthcare disciplines to turn their ideas into viable medical startups.</w:t>
      </w:r>
    </w:p>
    <w:p w14:paraId="0CDA595D"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t xml:space="preserve">This awareness session successfully broadened the vision of participants, inspiring them to apply their academic and clinical knowledge to solve real-world healthcare challenges. It served as a catalyst for fostering interdisciplinary collaboration and nurturing a new generation of innovators dedicated to shaping the future of </w:t>
      </w:r>
      <w:r>
        <w:rPr>
          <w:rStyle w:val="6"/>
        </w:rPr>
        <w:t>integrative and holistic healthcare</w:t>
      </w:r>
      <w:r>
        <w:t>.</w:t>
      </w:r>
    </w:p>
    <w:p w14:paraId="5453486E">
      <w:pPr>
        <w:rPr>
          <w:rFonts w:hint="default" w:ascii="Times New Roman" w:hAnsi="Times New Roman" w:cs="Times New Roman"/>
        </w:rPr>
      </w:pPr>
      <w:bookmarkStart w:id="0" w:name="_GoBack"/>
      <w:r>
        <w:drawing>
          <wp:inline distT="0" distB="0" distL="114300" distR="114300">
            <wp:extent cx="2435225" cy="5718810"/>
            <wp:effectExtent l="0" t="0" r="3175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2769235" cy="5455920"/>
            <wp:effectExtent l="0" t="0" r="12065" b="1143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1935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1DDC671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0DCCD15C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765B7EAF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34C9D77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SSIP Coordinator</w:t>
      </w:r>
    </w:p>
    <w:p w14:paraId="10914079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21" w:lineRule="atLeast"/>
        <w:jc w:val="both"/>
      </w:pPr>
      <w:r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Vidhyadeep Universit</w:t>
      </w:r>
      <w:r>
        <w:rPr>
          <w:rFonts w:hint="default" w:ascii="Times New Roman" w:hAnsi="Times New Roman" w:eastAsia="Book Antiqua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  <w:lang w:val="en-US"/>
        </w:rPr>
        <w:t>y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167AC"/>
    <w:rsid w:val="04BD4C50"/>
    <w:rsid w:val="067167AC"/>
    <w:rsid w:val="25893004"/>
    <w:rsid w:val="5CA126C6"/>
    <w:rsid w:val="60245F9E"/>
    <w:rsid w:val="633C4C59"/>
    <w:rsid w:val="6FCF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2025-04-05T07:14:00Z</dcterms:created>
  <dc:creator>Dr.Vaibhavi Parmar</dc:creator>
  <cp:lastModifiedBy>Dr.Vaibhavi Parmar</cp:lastModifiedBy>
  <dcterms:modified xsi:type="dcterms:W3CDTF">2025-04-17T05:13:19Z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B0CCC6647F874EAD9612E967089F3EBA_13</vt:lpwstr>
  </property>
</Properties>
</file>